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44F4D" w14:textId="77777777" w:rsidR="00B67B3F" w:rsidRDefault="001766DC">
      <w:pPr>
        <w:jc w:val="center"/>
        <w:rPr>
          <w:rFonts w:eastAsia="Calibri"/>
        </w:rPr>
      </w:pPr>
      <w:bookmarkStart w:id="0" w:name="_Hlk99363933"/>
      <w:r>
        <w:rPr>
          <w:rFonts w:eastAsia="Calibri"/>
          <w:b/>
        </w:rPr>
        <w:t>DOCKET NO. 56979</w:t>
      </w:r>
    </w:p>
    <w:p w14:paraId="77132738" w14:textId="77777777" w:rsidR="00B67B3F" w:rsidRDefault="00B67B3F">
      <w:pPr>
        <w:jc w:val="center"/>
        <w:rPr>
          <w:rFonts w:eastAsia="Calibri"/>
        </w:rPr>
      </w:pPr>
    </w:p>
    <w:tbl>
      <w:tblPr>
        <w:tblW w:w="9434" w:type="dxa"/>
        <w:tblInd w:w="-90" w:type="dxa"/>
        <w:tblLayout w:type="fixed"/>
        <w:tblCellMar>
          <w:left w:w="40" w:type="dxa"/>
          <w:right w:w="40" w:type="dxa"/>
        </w:tblCellMar>
        <w:tblLook w:val="04A0" w:firstRow="1" w:lastRow="0" w:firstColumn="1" w:lastColumn="0" w:noHBand="0" w:noVBand="1"/>
      </w:tblPr>
      <w:tblGrid>
        <w:gridCol w:w="4607"/>
        <w:gridCol w:w="722"/>
        <w:gridCol w:w="4105"/>
      </w:tblGrid>
      <w:tr w:rsidR="00B67B3F" w14:paraId="60754351" w14:textId="77777777">
        <w:trPr>
          <w:trHeight w:val="891"/>
        </w:trPr>
        <w:tc>
          <w:tcPr>
            <w:tcW w:w="4607" w:type="dxa"/>
            <w:hideMark/>
          </w:tcPr>
          <w:p w14:paraId="34D47EEA" w14:textId="77777777" w:rsidR="00B67B3F" w:rsidRDefault="001766DC">
            <w:pPr>
              <w:widowControl w:val="0"/>
              <w:tabs>
                <w:tab w:val="clear" w:pos="720"/>
              </w:tabs>
              <w:autoSpaceDE w:val="0"/>
              <w:autoSpaceDN w:val="0"/>
              <w:adjustRightInd w:val="0"/>
              <w:spacing w:line="240" w:lineRule="atLeast"/>
              <w:jc w:val="left"/>
              <w:rPr>
                <w:rFonts w:eastAsia="Times New Roman"/>
                <w:b/>
                <w:iCs/>
                <w:snapToGrid w:val="0"/>
              </w:rPr>
            </w:pPr>
            <w:r>
              <w:rPr>
                <w:b/>
              </w:rPr>
              <w:t>APPLICATION OF CORIX UTILITIES (TEXAS) INC. FOR A NAME CHANGE AND MINOR TARIFF CHANGE</w:t>
            </w:r>
          </w:p>
        </w:tc>
        <w:tc>
          <w:tcPr>
            <w:tcW w:w="722" w:type="dxa"/>
          </w:tcPr>
          <w:p w14:paraId="57159C51" w14:textId="77777777" w:rsidR="00B67B3F" w:rsidRDefault="001766DC">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731AA9F0" w14:textId="77777777" w:rsidR="00B67B3F" w:rsidRDefault="001766DC">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60F64636" w14:textId="77777777" w:rsidR="00B67B3F" w:rsidRDefault="001766DC">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105" w:type="dxa"/>
          </w:tcPr>
          <w:p w14:paraId="62F0605B" w14:textId="77777777" w:rsidR="00B67B3F" w:rsidRDefault="001766DC">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3AAD5BA0" w14:textId="77777777" w:rsidR="00B67B3F" w:rsidRDefault="00B67B3F">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27A0D76D" w14:textId="77777777" w:rsidR="00B67B3F" w:rsidRDefault="001766DC">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tbl>
    <w:p w14:paraId="0DA468A6" w14:textId="77777777" w:rsidR="00B67B3F" w:rsidRDefault="00B67B3F">
      <w:pPr>
        <w:tabs>
          <w:tab w:val="clear" w:pos="720"/>
        </w:tabs>
        <w:jc w:val="center"/>
      </w:pPr>
    </w:p>
    <w:bookmarkEnd w:id="0"/>
    <w:p w14:paraId="774F6332" w14:textId="77777777" w:rsidR="00B67B3F" w:rsidRPr="00E726A8" w:rsidRDefault="001766DC">
      <w:pPr>
        <w:spacing w:after="240"/>
        <w:jc w:val="center"/>
        <w:rPr>
          <w:b/>
          <w:bCs/>
          <w:u w:val="single"/>
        </w:rPr>
      </w:pPr>
      <w:r w:rsidRPr="00E726A8">
        <w:rPr>
          <w:rFonts w:ascii="Times New Roman Bold" w:eastAsia="Times New Roman" w:hAnsi="Times New Roman Bold"/>
          <w:b/>
          <w:caps/>
          <w:snapToGrid w:val="0"/>
          <w:kern w:val="28"/>
          <w:u w:val="single"/>
          <w:lang w:eastAsia="zh-TW"/>
        </w:rPr>
        <w:t>NOTICE OF APPROVAL</w:t>
      </w:r>
    </w:p>
    <w:p w14:paraId="3B9D6C87" w14:textId="326B9DFA" w:rsidR="00B67B3F" w:rsidRDefault="001766DC">
      <w:pPr>
        <w:pStyle w:val="BodyText"/>
        <w:rPr>
          <w:snapToGrid w:val="0"/>
          <w:lang w:eastAsia="zh-TW"/>
        </w:rPr>
      </w:pPr>
      <w:r>
        <w:tab/>
      </w:r>
      <w:bookmarkStart w:id="1" w:name="_Hlk56611236"/>
      <w:bookmarkStart w:id="2" w:name="_Hlk99363648"/>
      <w:r>
        <w:t>This Notice of Approval addresses the Application of Corix Utilities (Texas) Inc. (Corix or Company)</w:t>
      </w:r>
      <w:r>
        <w:rPr>
          <w:snapToGrid w:val="0"/>
          <w:lang w:eastAsia="zh-TW"/>
        </w:rPr>
        <w:t xml:space="preserve"> for a Name Change and Minor Tariff Change.  The Commission approves the name change and minor tariff change and changes the name from Corix</w:t>
      </w:r>
      <w:r>
        <w:rPr>
          <w:snapToGrid w:val="0"/>
        </w:rPr>
        <w:t xml:space="preserve"> held under CCN Nos. 21081 and 13227 to Utilities, Inc. of Texas dba Corix Utilities (Texas) Inc. (Utilities, Inc.).</w:t>
      </w:r>
    </w:p>
    <w:p w14:paraId="21593828" w14:textId="77777777" w:rsidR="00B67B3F" w:rsidRDefault="001766DC">
      <w:pPr>
        <w:pStyle w:val="CROutline1"/>
        <w:rPr>
          <w:caps w:val="0"/>
        </w:rPr>
      </w:pPr>
      <w:bookmarkStart w:id="3" w:name="_Toc91583396"/>
      <w:r>
        <w:rPr>
          <w:caps w:val="0"/>
        </w:rPr>
        <w:t>Findings of Fact</w:t>
      </w:r>
    </w:p>
    <w:p w14:paraId="76CC2A73" w14:textId="77777777" w:rsidR="00B67B3F" w:rsidRDefault="001766DC">
      <w:pPr>
        <w:pStyle w:val="BodyTextIndented"/>
        <w:spacing w:before="0" w:after="120" w:line="360" w:lineRule="auto"/>
      </w:pPr>
      <w:r>
        <w:t>The Commission makes the following findings of fact:</w:t>
      </w:r>
    </w:p>
    <w:p w14:paraId="11856867" w14:textId="77777777" w:rsidR="00B67B3F" w:rsidRDefault="001766DC">
      <w:pPr>
        <w:pStyle w:val="FoFs"/>
        <w:numPr>
          <w:ilvl w:val="0"/>
          <w:numId w:val="17"/>
        </w:numPr>
        <w:tabs>
          <w:tab w:val="left" w:pos="720"/>
        </w:tabs>
        <w:spacing w:after="120"/>
        <w:ind w:hanging="720"/>
      </w:pPr>
      <w:r>
        <w:t xml:space="preserve">On August 23, 2024, Corix filed an application for a name change and minor tariff change associated with Certificate of Convenience and Necessity Nos. 21081 and 13227.  </w:t>
      </w:r>
    </w:p>
    <w:p w14:paraId="4602FD2D" w14:textId="7209C217" w:rsidR="00B67B3F" w:rsidRDefault="001766DC">
      <w:pPr>
        <w:pStyle w:val="FoFs"/>
        <w:numPr>
          <w:ilvl w:val="0"/>
          <w:numId w:val="17"/>
        </w:numPr>
        <w:tabs>
          <w:tab w:val="left" w:pos="720"/>
        </w:tabs>
        <w:spacing w:after="120"/>
        <w:ind w:hanging="720"/>
      </w:pPr>
      <w:r>
        <w:t xml:space="preserve">Corix is a Class B public utility providing wastewater and water service under CCN Nos. 21081 and 13227, respectively.  Presently, CCN No. 21081 authorizes Corix to provide wastewater utility service in Bastrop, Burnet, Colorado, </w:t>
      </w:r>
      <w:r w:rsidR="001023E2">
        <w:t xml:space="preserve">Hays, </w:t>
      </w:r>
      <w:r>
        <w:t xml:space="preserve">Lampasas, and Matagorda Counties, Texas under the name Corix Utilities (Texas) Inc.  CCN No. 13227 authorizes Corix to provide water utility service in Bastrop, </w:t>
      </w:r>
      <w:r w:rsidR="00D1541B">
        <w:t xml:space="preserve">Burnet, </w:t>
      </w:r>
      <w:r>
        <w:t xml:space="preserve">Colorado, </w:t>
      </w:r>
      <w:r w:rsidR="00D1541B">
        <w:t xml:space="preserve">Hays, </w:t>
      </w:r>
      <w:r>
        <w:t xml:space="preserve">Lampasas, </w:t>
      </w:r>
      <w:r w:rsidR="00D1541B">
        <w:t xml:space="preserve">and </w:t>
      </w:r>
      <w:r>
        <w:t>Matagorda</w:t>
      </w:r>
      <w:r w:rsidR="00D1541B">
        <w:t xml:space="preserve"> </w:t>
      </w:r>
      <w:bookmarkStart w:id="4" w:name="_GoBack"/>
      <w:bookmarkEnd w:id="4"/>
      <w:r>
        <w:t xml:space="preserve">Counties, Texas under the name Corix Utilities (Texas) Inc.  </w:t>
      </w:r>
    </w:p>
    <w:p w14:paraId="7BB7854E" w14:textId="77777777" w:rsidR="00B67B3F" w:rsidRDefault="001766DC">
      <w:pPr>
        <w:pStyle w:val="FoFs"/>
        <w:numPr>
          <w:ilvl w:val="0"/>
          <w:numId w:val="17"/>
        </w:numPr>
        <w:tabs>
          <w:tab w:val="left" w:pos="720"/>
        </w:tabs>
        <w:spacing w:after="120"/>
        <w:ind w:hanging="720"/>
      </w:pPr>
      <w:r>
        <w:t xml:space="preserve">On April 1, 2024, the proposed merger approved by the Commission in Docket No. 54316 was consummated.  </w:t>
      </w:r>
    </w:p>
    <w:p w14:paraId="4A81F8FF" w14:textId="77777777" w:rsidR="00B67B3F" w:rsidRDefault="001766DC">
      <w:pPr>
        <w:pStyle w:val="FoFs"/>
        <w:numPr>
          <w:ilvl w:val="0"/>
          <w:numId w:val="17"/>
        </w:numPr>
        <w:tabs>
          <w:tab w:val="left" w:pos="720"/>
        </w:tabs>
        <w:spacing w:after="120"/>
        <w:ind w:hanging="720"/>
      </w:pPr>
      <w:r>
        <w:t xml:space="preserve">As part of the merger, Corix is required to immediately cease using “Corix” in its legal name and, within one year, cease using “Corix” in its branding.  </w:t>
      </w:r>
    </w:p>
    <w:p w14:paraId="773A2B9F" w14:textId="77777777" w:rsidR="00B67B3F" w:rsidRDefault="001766DC">
      <w:pPr>
        <w:pStyle w:val="FoFs"/>
        <w:numPr>
          <w:ilvl w:val="0"/>
          <w:numId w:val="17"/>
        </w:numPr>
        <w:tabs>
          <w:tab w:val="left" w:pos="720"/>
        </w:tabs>
        <w:spacing w:after="120"/>
        <w:ind w:hanging="720"/>
      </w:pPr>
      <w:r>
        <w:t xml:space="preserve">Corix filed with the Secretary of State to change its legal name from Corix Utilities (Texas) Inc. to Utilities, Inc. of Texas and then filed to create an assumed name of Corix Utilities (Texas) Inc.  </w:t>
      </w:r>
    </w:p>
    <w:p w14:paraId="0DA85C90" w14:textId="77777777" w:rsidR="00B67B3F" w:rsidRDefault="001766DC">
      <w:pPr>
        <w:pStyle w:val="FoFs"/>
        <w:numPr>
          <w:ilvl w:val="0"/>
          <w:numId w:val="17"/>
        </w:numPr>
        <w:tabs>
          <w:tab w:val="left" w:pos="720"/>
        </w:tabs>
        <w:spacing w:after="120"/>
        <w:ind w:hanging="720"/>
      </w:pPr>
      <w:r>
        <w:t>Corix intends to operate in the near term under the assumed name of Corix Utilities (Texas) Inc. for branding, billing, operating, regulatory, and other purposes.</w:t>
      </w:r>
    </w:p>
    <w:p w14:paraId="0EF3C613" w14:textId="77777777" w:rsidR="00B67B3F" w:rsidRDefault="001766DC">
      <w:pPr>
        <w:pStyle w:val="FoFs"/>
        <w:numPr>
          <w:ilvl w:val="0"/>
          <w:numId w:val="17"/>
        </w:numPr>
        <w:tabs>
          <w:tab w:val="left" w:pos="720"/>
        </w:tabs>
        <w:spacing w:after="120"/>
        <w:ind w:hanging="720"/>
      </w:pPr>
      <w:r>
        <w:lastRenderedPageBreak/>
        <w:t>On April 26, 2024, Corix filed a Certificate of Amendment of Certificate of Incorporation with the Delaware Secretary of State, changing its legal name to Utilities, Inc. of Texas.</w:t>
      </w:r>
    </w:p>
    <w:p w14:paraId="39027E80" w14:textId="77777777" w:rsidR="00B67B3F" w:rsidRDefault="001766DC">
      <w:pPr>
        <w:pStyle w:val="FoFs"/>
        <w:numPr>
          <w:ilvl w:val="0"/>
          <w:numId w:val="17"/>
        </w:numPr>
        <w:tabs>
          <w:tab w:val="left" w:pos="720"/>
        </w:tabs>
        <w:spacing w:after="120"/>
        <w:ind w:hanging="720"/>
      </w:pPr>
      <w:r>
        <w:t xml:space="preserve">On July 26, 2024, the Texas Secretary of State’s office issued a Certificate of Amended Registration, which changes Corix’s legal name to Utilities, Inc. of Texas as of July 26, 2024. </w:t>
      </w:r>
    </w:p>
    <w:p w14:paraId="2FBBC5CC" w14:textId="77777777" w:rsidR="00B67B3F" w:rsidRDefault="001766DC">
      <w:pPr>
        <w:pStyle w:val="FoFs"/>
        <w:numPr>
          <w:ilvl w:val="0"/>
          <w:numId w:val="17"/>
        </w:numPr>
        <w:tabs>
          <w:tab w:val="left" w:pos="720"/>
        </w:tabs>
        <w:spacing w:after="120"/>
        <w:ind w:hanging="720"/>
      </w:pPr>
      <w:r>
        <w:t xml:space="preserve">On August 5, 2024, the Texas Secretary of State’s office issued a Certificate of Filing acknowledging Utilities, Inc. of Texas’ assumed name Corix Utilities (Texas) Inc., effective as of August 5, 2024.  </w:t>
      </w:r>
    </w:p>
    <w:p w14:paraId="51A00005" w14:textId="77777777" w:rsidR="00B67B3F" w:rsidRDefault="001766DC">
      <w:pPr>
        <w:pStyle w:val="FoFs"/>
        <w:numPr>
          <w:ilvl w:val="0"/>
          <w:numId w:val="17"/>
        </w:numPr>
        <w:tabs>
          <w:tab w:val="left" w:pos="720"/>
        </w:tabs>
        <w:spacing w:after="120"/>
        <w:ind w:hanging="720"/>
      </w:pPr>
      <w:r>
        <w:t>Streamlined, administrative review for water or sewer CCN name changes is appropriate when the Commission has previously reviewed and approved the CCN holder’s financial, managerial, and technical capabilities to provide continuous and adequate service.</w:t>
      </w:r>
    </w:p>
    <w:p w14:paraId="022DA2A7" w14:textId="77777777" w:rsidR="00B67B3F" w:rsidRDefault="001766DC">
      <w:pPr>
        <w:pStyle w:val="FoFs"/>
        <w:numPr>
          <w:ilvl w:val="0"/>
          <w:numId w:val="17"/>
        </w:numPr>
        <w:tabs>
          <w:tab w:val="left" w:pos="720"/>
        </w:tabs>
        <w:spacing w:after="120"/>
        <w:ind w:hanging="720"/>
      </w:pPr>
      <w:r>
        <w:t>Staff evaluated Corix’s financial, managerial, and technical capabilities in Docket No. 54858.</w:t>
      </w:r>
    </w:p>
    <w:p w14:paraId="2BC5842F" w14:textId="77777777" w:rsidR="00B67B3F" w:rsidRDefault="001766DC">
      <w:pPr>
        <w:pStyle w:val="FoFs"/>
        <w:numPr>
          <w:ilvl w:val="0"/>
          <w:numId w:val="17"/>
        </w:numPr>
        <w:tabs>
          <w:tab w:val="left" w:pos="720"/>
        </w:tabs>
        <w:spacing w:after="120"/>
        <w:ind w:hanging="720"/>
      </w:pPr>
      <w:r>
        <w:t>In Order No. 2, issued on September 27. 2024, the administrative law judge (ALJ) deemed the application administratively complete.</w:t>
      </w:r>
    </w:p>
    <w:p w14:paraId="536CDCA9" w14:textId="77777777" w:rsidR="00B67B3F" w:rsidRDefault="001766DC">
      <w:pPr>
        <w:pStyle w:val="FoFs"/>
        <w:numPr>
          <w:ilvl w:val="0"/>
          <w:numId w:val="17"/>
        </w:numPr>
        <w:tabs>
          <w:tab w:val="left" w:pos="720"/>
        </w:tabs>
        <w:spacing w:after="120"/>
        <w:ind w:hanging="720"/>
      </w:pPr>
      <w:r>
        <w:t>On November 12, 2024, Staff filed its recommendation that the application be approved.</w:t>
      </w:r>
    </w:p>
    <w:p w14:paraId="125A2B38" w14:textId="77777777" w:rsidR="00B67B3F" w:rsidRDefault="001766DC">
      <w:pPr>
        <w:pStyle w:val="FoFs"/>
        <w:tabs>
          <w:tab w:val="left" w:pos="720"/>
        </w:tabs>
        <w:rPr>
          <w:b/>
          <w:i/>
          <w:u w:val="single"/>
        </w:rPr>
      </w:pPr>
      <w:r>
        <w:rPr>
          <w:b/>
          <w:i/>
          <w:u w:val="single"/>
        </w:rPr>
        <w:t>Certificate and Tariff</w:t>
      </w:r>
    </w:p>
    <w:p w14:paraId="2838C56F" w14:textId="77777777" w:rsidR="00B67B3F" w:rsidRDefault="001766DC">
      <w:pPr>
        <w:pStyle w:val="FoFs"/>
        <w:numPr>
          <w:ilvl w:val="0"/>
          <w:numId w:val="17"/>
        </w:numPr>
        <w:tabs>
          <w:tab w:val="left" w:pos="720"/>
        </w:tabs>
        <w:spacing w:after="120"/>
        <w:ind w:hanging="720"/>
      </w:pPr>
      <w:r>
        <w:t>On November 12, 2024, Commission Staff filed the proposed certificates with the name change as an attachment to its recommendation.</w:t>
      </w:r>
    </w:p>
    <w:p w14:paraId="24FAEEBF" w14:textId="77777777" w:rsidR="00B67B3F" w:rsidRDefault="001766DC">
      <w:pPr>
        <w:pStyle w:val="FoFs"/>
        <w:tabs>
          <w:tab w:val="left" w:pos="720"/>
        </w:tabs>
        <w:rPr>
          <w:b/>
          <w:i/>
          <w:u w:val="single"/>
        </w:rPr>
      </w:pPr>
      <w:r>
        <w:rPr>
          <w:b/>
          <w:i/>
          <w:u w:val="single"/>
        </w:rPr>
        <w:t>Notice</w:t>
      </w:r>
    </w:p>
    <w:p w14:paraId="49A5CA70" w14:textId="77777777" w:rsidR="00B67B3F" w:rsidRDefault="001766DC">
      <w:pPr>
        <w:pStyle w:val="FoFs"/>
        <w:numPr>
          <w:ilvl w:val="0"/>
          <w:numId w:val="17"/>
        </w:numPr>
        <w:tabs>
          <w:tab w:val="left" w:pos="720"/>
        </w:tabs>
        <w:spacing w:after="120"/>
        <w:ind w:hanging="720"/>
      </w:pPr>
      <w:r>
        <w:t>On October 29, 2024, Commission Staff directed the provision of notice in the Texas Register.</w:t>
      </w:r>
    </w:p>
    <w:p w14:paraId="7853F53D" w14:textId="77777777" w:rsidR="00B67B3F" w:rsidRDefault="001766DC">
      <w:pPr>
        <w:pStyle w:val="FoFs"/>
        <w:tabs>
          <w:tab w:val="left" w:pos="720"/>
        </w:tabs>
      </w:pPr>
      <w:r>
        <w:rPr>
          <w:b/>
          <w:i/>
          <w:u w:val="single"/>
        </w:rPr>
        <w:t>Evidentiary Record</w:t>
      </w:r>
    </w:p>
    <w:p w14:paraId="47F41B19" w14:textId="2FF663BF" w:rsidR="00B67B3F" w:rsidRDefault="001766DC">
      <w:pPr>
        <w:pStyle w:val="FoFs"/>
        <w:numPr>
          <w:ilvl w:val="0"/>
          <w:numId w:val="17"/>
        </w:numPr>
        <w:tabs>
          <w:tab w:val="left" w:pos="720"/>
        </w:tabs>
        <w:spacing w:after="120"/>
        <w:ind w:hanging="720"/>
      </w:pPr>
      <w:r>
        <w:t>On November 26, 2024, Corix and Commission Staff file</w:t>
      </w:r>
      <w:r w:rsidR="00F23523">
        <w:t>d</w:t>
      </w:r>
      <w:r>
        <w:t xml:space="preserve"> a joint proposed notice of approval and request to admit evidence.</w:t>
      </w:r>
    </w:p>
    <w:p w14:paraId="7AC06452" w14:textId="77777777" w:rsidR="00B67B3F" w:rsidRDefault="001766DC">
      <w:pPr>
        <w:pStyle w:val="FoFs"/>
        <w:numPr>
          <w:ilvl w:val="0"/>
          <w:numId w:val="17"/>
        </w:numPr>
        <w:tabs>
          <w:tab w:val="left" w:pos="720"/>
        </w:tabs>
        <w:spacing w:after="120"/>
        <w:ind w:hanging="720"/>
      </w:pPr>
      <w:r>
        <w:t>In Order No. _, issued on __________, the administrative law judge admitted the following evidence into the record of this proceeding: (a) Corix application and all attachments, filed August 23, 2024; and (b) Commission Staff s final recommendation and all attachments, filed November 12, 2024.</w:t>
      </w:r>
    </w:p>
    <w:p w14:paraId="41D5A09D" w14:textId="77777777" w:rsidR="00B67B3F" w:rsidRDefault="001766DC">
      <w:pPr>
        <w:pStyle w:val="FoFs"/>
        <w:tabs>
          <w:tab w:val="left" w:pos="720"/>
        </w:tabs>
        <w:rPr>
          <w:b/>
          <w:i/>
          <w:u w:val="single"/>
        </w:rPr>
      </w:pPr>
      <w:r>
        <w:rPr>
          <w:b/>
          <w:i/>
          <w:u w:val="single"/>
        </w:rPr>
        <w:lastRenderedPageBreak/>
        <w:t>Informal Disposition</w:t>
      </w:r>
    </w:p>
    <w:p w14:paraId="3B7F8692" w14:textId="77777777" w:rsidR="00B67B3F" w:rsidRDefault="001766DC">
      <w:pPr>
        <w:pStyle w:val="FoFs"/>
        <w:numPr>
          <w:ilvl w:val="0"/>
          <w:numId w:val="17"/>
        </w:numPr>
        <w:tabs>
          <w:tab w:val="left" w:pos="720"/>
        </w:tabs>
        <w:spacing w:after="120"/>
        <w:ind w:hanging="720"/>
      </w:pPr>
      <w:r>
        <w:t>The application does not include any boundary changes to the certificated area for water or sewer service.</w:t>
      </w:r>
    </w:p>
    <w:p w14:paraId="265A5938" w14:textId="77777777" w:rsidR="00B67B3F" w:rsidRDefault="001766DC">
      <w:pPr>
        <w:pStyle w:val="FoFs"/>
        <w:numPr>
          <w:ilvl w:val="0"/>
          <w:numId w:val="17"/>
        </w:numPr>
        <w:tabs>
          <w:tab w:val="left" w:pos="720"/>
        </w:tabs>
        <w:spacing w:after="120"/>
        <w:ind w:hanging="720"/>
      </w:pPr>
      <w:r>
        <w:t>More than 15 days have passed since the completion of the notice provided in this docket.</w:t>
      </w:r>
    </w:p>
    <w:p w14:paraId="731D8C70" w14:textId="04FC3152" w:rsidR="00B67B3F" w:rsidRDefault="001766DC">
      <w:pPr>
        <w:pStyle w:val="FoFs"/>
        <w:numPr>
          <w:ilvl w:val="0"/>
          <w:numId w:val="17"/>
        </w:numPr>
        <w:tabs>
          <w:tab w:val="left" w:pos="720"/>
        </w:tabs>
        <w:spacing w:after="120"/>
        <w:ind w:hanging="720"/>
      </w:pPr>
      <w:r>
        <w:t>No person filed a protest or motion to intervene</w:t>
      </w:r>
      <w:r w:rsidR="00B17EE6">
        <w:t>.</w:t>
      </w:r>
    </w:p>
    <w:p w14:paraId="4FA18F62" w14:textId="77777777" w:rsidR="00B67B3F" w:rsidRDefault="001766DC">
      <w:pPr>
        <w:pStyle w:val="FoFs"/>
        <w:numPr>
          <w:ilvl w:val="0"/>
          <w:numId w:val="17"/>
        </w:numPr>
        <w:tabs>
          <w:tab w:val="left" w:pos="720"/>
        </w:tabs>
        <w:spacing w:after="120"/>
        <w:ind w:hanging="720"/>
      </w:pPr>
      <w:r>
        <w:t>Corix and Commission Staff are the only parties to this proceeding.</w:t>
      </w:r>
    </w:p>
    <w:p w14:paraId="0406959F" w14:textId="77777777" w:rsidR="00B67B3F" w:rsidRDefault="001766DC">
      <w:pPr>
        <w:pStyle w:val="FoFs"/>
        <w:numPr>
          <w:ilvl w:val="0"/>
          <w:numId w:val="17"/>
        </w:numPr>
        <w:tabs>
          <w:tab w:val="left" w:pos="720"/>
        </w:tabs>
        <w:spacing w:after="120"/>
        <w:ind w:hanging="720"/>
      </w:pPr>
      <w:r>
        <w:t>No party requested a hearing and no hearing is needed.</w:t>
      </w:r>
    </w:p>
    <w:p w14:paraId="0BA6A146" w14:textId="77777777" w:rsidR="00B67B3F" w:rsidRDefault="001766DC">
      <w:pPr>
        <w:pStyle w:val="FoFs"/>
        <w:numPr>
          <w:ilvl w:val="0"/>
          <w:numId w:val="17"/>
        </w:numPr>
        <w:tabs>
          <w:tab w:val="left" w:pos="720"/>
        </w:tabs>
        <w:spacing w:after="120"/>
        <w:ind w:hanging="720"/>
      </w:pPr>
      <w:r>
        <w:t>Commission Staff recommended approval of the application.</w:t>
      </w:r>
    </w:p>
    <w:p w14:paraId="1285A9DD" w14:textId="77777777" w:rsidR="00B67B3F" w:rsidRDefault="001766DC">
      <w:pPr>
        <w:pStyle w:val="FoFs"/>
        <w:numPr>
          <w:ilvl w:val="0"/>
          <w:numId w:val="17"/>
        </w:numPr>
        <w:tabs>
          <w:tab w:val="left" w:pos="720"/>
        </w:tabs>
        <w:spacing w:after="120"/>
        <w:ind w:hanging="720"/>
      </w:pPr>
      <w:r>
        <w:t>The decision is not adverse to any party.</w:t>
      </w:r>
    </w:p>
    <w:p w14:paraId="2CD235F0" w14:textId="77777777" w:rsidR="00B67B3F" w:rsidRDefault="001766DC">
      <w:pPr>
        <w:pStyle w:val="CROutline1"/>
        <w:rPr>
          <w:caps w:val="0"/>
        </w:rPr>
      </w:pPr>
      <w:r>
        <w:rPr>
          <w:caps w:val="0"/>
        </w:rPr>
        <w:t>Conclusions of Law</w:t>
      </w:r>
    </w:p>
    <w:p w14:paraId="176C09F0" w14:textId="77777777" w:rsidR="00B67B3F" w:rsidRDefault="001766DC">
      <w:pPr>
        <w:pStyle w:val="FoFs"/>
        <w:numPr>
          <w:ilvl w:val="0"/>
          <w:numId w:val="21"/>
        </w:numPr>
        <w:spacing w:after="120"/>
      </w:pPr>
      <w:r>
        <w:t>The Commission has jurisdiction over the application under Texas Water Code (TWC) §§ 13.041(a) and 13.241.</w:t>
      </w:r>
    </w:p>
    <w:p w14:paraId="26C5F62F" w14:textId="77777777" w:rsidR="00B67B3F" w:rsidRDefault="001766DC">
      <w:pPr>
        <w:pStyle w:val="FoFs"/>
        <w:numPr>
          <w:ilvl w:val="0"/>
          <w:numId w:val="21"/>
        </w:numPr>
        <w:spacing w:after="120"/>
      </w:pPr>
      <w:r>
        <w:t>Corix is a retail public utility as defined in TWC § 13.002(19) and 16 Texas Administrative Code (TAC) § 24.3(31).</w:t>
      </w:r>
    </w:p>
    <w:p w14:paraId="1382332E" w14:textId="77777777" w:rsidR="00B67B3F" w:rsidRDefault="001766DC">
      <w:pPr>
        <w:pStyle w:val="FoFs"/>
        <w:numPr>
          <w:ilvl w:val="0"/>
          <w:numId w:val="21"/>
        </w:numPr>
        <w:spacing w:after="120"/>
      </w:pPr>
      <w:r>
        <w:t>Notice of the request was provided in accordance with 16 TAC § 22.55.</w:t>
      </w:r>
    </w:p>
    <w:p w14:paraId="04F237D8" w14:textId="77777777" w:rsidR="00B67B3F" w:rsidRDefault="001766DC">
      <w:pPr>
        <w:pStyle w:val="FoFs"/>
        <w:numPr>
          <w:ilvl w:val="0"/>
          <w:numId w:val="21"/>
        </w:numPr>
        <w:spacing w:after="120"/>
      </w:pPr>
      <w:r>
        <w:t>The application was processed in accordance with the TWC and Commission rules.</w:t>
      </w:r>
    </w:p>
    <w:p w14:paraId="5B54FB8F" w14:textId="77777777" w:rsidR="00B67B3F" w:rsidRDefault="001766DC">
      <w:pPr>
        <w:pStyle w:val="FoFs"/>
        <w:numPr>
          <w:ilvl w:val="0"/>
          <w:numId w:val="21"/>
        </w:numPr>
        <w:spacing w:after="120"/>
      </w:pPr>
      <w:r>
        <w:t>Approval of the request is necessary for the service, accommodation, convenience, and safety of the public.</w:t>
      </w:r>
    </w:p>
    <w:p w14:paraId="66438F96" w14:textId="77777777" w:rsidR="00B67B3F" w:rsidRDefault="001766DC">
      <w:pPr>
        <w:pStyle w:val="FoFs"/>
        <w:numPr>
          <w:ilvl w:val="0"/>
          <w:numId w:val="21"/>
        </w:numPr>
        <w:spacing w:after="120"/>
      </w:pPr>
      <w:r>
        <w:t>The requirements for informal disposition in 16 TAC § 22.35 have been met in this proceeding.</w:t>
      </w:r>
    </w:p>
    <w:p w14:paraId="48E86A3F" w14:textId="77777777" w:rsidR="00B67B3F" w:rsidRDefault="001766DC">
      <w:pPr>
        <w:pStyle w:val="CROutline1"/>
        <w:rPr>
          <w:caps w:val="0"/>
        </w:rPr>
      </w:pPr>
      <w:r>
        <w:rPr>
          <w:caps w:val="0"/>
        </w:rPr>
        <w:t>Ordering Paragraphs</w:t>
      </w:r>
    </w:p>
    <w:p w14:paraId="1740DD4A" w14:textId="77777777" w:rsidR="00B67B3F" w:rsidRDefault="001766DC">
      <w:pPr>
        <w:pStyle w:val="FoFs"/>
        <w:numPr>
          <w:ilvl w:val="0"/>
          <w:numId w:val="23"/>
        </w:numPr>
        <w:tabs>
          <w:tab w:val="left" w:pos="720"/>
        </w:tabs>
        <w:spacing w:after="120"/>
      </w:pPr>
      <w:r>
        <w:t>The Commission approves the application to amend water CCN No. 13227 and sewer CCN No. 21081 to reflect a name change to Utilities Inc. of Texas dba Corix Utilities (Texas), Inc.</w:t>
      </w:r>
    </w:p>
    <w:p w14:paraId="2E7610AA" w14:textId="77777777" w:rsidR="00B67B3F" w:rsidRDefault="001766DC">
      <w:pPr>
        <w:pStyle w:val="FoFs"/>
        <w:numPr>
          <w:ilvl w:val="0"/>
          <w:numId w:val="23"/>
        </w:numPr>
        <w:tabs>
          <w:tab w:val="left" w:pos="720"/>
        </w:tabs>
        <w:spacing w:after="120"/>
      </w:pPr>
      <w:r>
        <w:t>The Commission amends CCN Nos. 13227 and 21081 to reflect the approved name change.</w:t>
      </w:r>
    </w:p>
    <w:p w14:paraId="026A06C1" w14:textId="77777777" w:rsidR="00B67B3F" w:rsidRDefault="001766DC">
      <w:pPr>
        <w:pStyle w:val="FoFs"/>
        <w:numPr>
          <w:ilvl w:val="0"/>
          <w:numId w:val="23"/>
        </w:numPr>
        <w:tabs>
          <w:tab w:val="left" w:pos="720"/>
        </w:tabs>
        <w:spacing w:after="120"/>
      </w:pPr>
      <w:r>
        <w:t>The Commission issues the certificates attached to this Final Order.</w:t>
      </w:r>
    </w:p>
    <w:p w14:paraId="3891C80C" w14:textId="77777777" w:rsidR="00B67B3F" w:rsidRDefault="001766DC">
      <w:pPr>
        <w:pStyle w:val="FoFs"/>
        <w:numPr>
          <w:ilvl w:val="0"/>
          <w:numId w:val="23"/>
        </w:numPr>
        <w:tabs>
          <w:tab w:val="left" w:pos="720"/>
        </w:tabs>
        <w:spacing w:after="120"/>
      </w:pPr>
      <w:r>
        <w:lastRenderedPageBreak/>
        <w:t>The Commission denies all other motions and any other requests for general or specific relief, if not specifically granted.</w:t>
      </w:r>
    </w:p>
    <w:p w14:paraId="4BB43519" w14:textId="77777777" w:rsidR="00B67B3F" w:rsidRDefault="00B67B3F">
      <w:pPr>
        <w:pStyle w:val="FoFs"/>
        <w:tabs>
          <w:tab w:val="left" w:pos="720"/>
        </w:tabs>
        <w:spacing w:after="120"/>
      </w:pPr>
    </w:p>
    <w:p w14:paraId="5B65EE86" w14:textId="77777777" w:rsidR="00B67B3F" w:rsidRDefault="001766DC">
      <w:pPr>
        <w:pStyle w:val="FoFs"/>
        <w:tabs>
          <w:tab w:val="left" w:pos="720"/>
        </w:tabs>
        <w:spacing w:after="120"/>
        <w:rPr>
          <w:b/>
        </w:rPr>
      </w:pPr>
      <w:r>
        <w:rPr>
          <w:b/>
        </w:rPr>
        <w:t>Signed at Austin, Texas the _____ day of ________ 2024</w:t>
      </w:r>
    </w:p>
    <w:p w14:paraId="707C80D7" w14:textId="77777777" w:rsidR="00B67B3F" w:rsidRDefault="00B67B3F">
      <w:pPr>
        <w:pStyle w:val="FoFs"/>
        <w:tabs>
          <w:tab w:val="left" w:pos="720"/>
        </w:tabs>
        <w:spacing w:after="120"/>
        <w:rPr>
          <w:b/>
        </w:rPr>
      </w:pPr>
    </w:p>
    <w:p w14:paraId="7367A31A" w14:textId="77777777" w:rsidR="00B67B3F" w:rsidRDefault="001766DC">
      <w:pPr>
        <w:pStyle w:val="FoFs"/>
        <w:tabs>
          <w:tab w:val="left" w:pos="720"/>
        </w:tabs>
        <w:spacing w:after="120"/>
        <w:rPr>
          <w:b/>
        </w:rPr>
      </w:pPr>
      <w:r>
        <w:rPr>
          <w:b/>
        </w:rPr>
        <w:tab/>
      </w:r>
      <w:r>
        <w:rPr>
          <w:b/>
        </w:rPr>
        <w:tab/>
      </w:r>
      <w:r>
        <w:rPr>
          <w:b/>
        </w:rPr>
        <w:tab/>
      </w:r>
      <w:r>
        <w:rPr>
          <w:b/>
        </w:rPr>
        <w:tab/>
      </w:r>
      <w:r>
        <w:rPr>
          <w:b/>
        </w:rPr>
        <w:tab/>
      </w:r>
      <w:r>
        <w:rPr>
          <w:b/>
        </w:rPr>
        <w:tab/>
        <w:t>PUBLIC UTILITY COMMISSION OF TEXAS</w:t>
      </w:r>
    </w:p>
    <w:p w14:paraId="69E904F8" w14:textId="77777777" w:rsidR="00B67B3F" w:rsidRDefault="00B67B3F">
      <w:pPr>
        <w:pStyle w:val="FoFs"/>
        <w:tabs>
          <w:tab w:val="left" w:pos="720"/>
        </w:tabs>
        <w:spacing w:after="120"/>
        <w:rPr>
          <w:b/>
        </w:rPr>
      </w:pPr>
    </w:p>
    <w:p w14:paraId="2B7086EC" w14:textId="77777777" w:rsidR="00B67B3F" w:rsidRDefault="00B67B3F">
      <w:pPr>
        <w:pStyle w:val="FoFs"/>
        <w:tabs>
          <w:tab w:val="left" w:pos="720"/>
        </w:tabs>
        <w:spacing w:after="120"/>
        <w:rPr>
          <w:b/>
        </w:rPr>
      </w:pPr>
    </w:p>
    <w:p w14:paraId="16F4C3A2" w14:textId="77777777" w:rsidR="00B67B3F" w:rsidRDefault="001766DC">
      <w:pPr>
        <w:pStyle w:val="FoFs"/>
        <w:tabs>
          <w:tab w:val="left" w:pos="720"/>
        </w:tabs>
        <w:spacing w:line="240" w:lineRule="auto"/>
        <w:rPr>
          <w:b/>
        </w:rPr>
      </w:pPr>
      <w:r>
        <w:rPr>
          <w:b/>
        </w:rPr>
        <w:tab/>
      </w:r>
      <w:r>
        <w:rPr>
          <w:b/>
        </w:rPr>
        <w:tab/>
      </w:r>
      <w:r>
        <w:rPr>
          <w:b/>
        </w:rPr>
        <w:tab/>
      </w:r>
      <w:r>
        <w:rPr>
          <w:b/>
        </w:rPr>
        <w:tab/>
      </w:r>
      <w:r>
        <w:rPr>
          <w:b/>
        </w:rPr>
        <w:tab/>
      </w:r>
      <w:r>
        <w:rPr>
          <w:b/>
        </w:rPr>
        <w:tab/>
        <w:t>________________________________________</w:t>
      </w:r>
    </w:p>
    <w:p w14:paraId="4701E4A9" w14:textId="77777777" w:rsidR="00B67B3F" w:rsidRDefault="001766DC">
      <w:pPr>
        <w:pStyle w:val="FoFs"/>
        <w:tabs>
          <w:tab w:val="left" w:pos="720"/>
        </w:tabs>
        <w:spacing w:line="240" w:lineRule="auto"/>
        <w:rPr>
          <w:b/>
        </w:rPr>
      </w:pPr>
      <w:r>
        <w:rPr>
          <w:b/>
        </w:rPr>
        <w:tab/>
      </w:r>
      <w:r>
        <w:rPr>
          <w:b/>
        </w:rPr>
        <w:tab/>
      </w:r>
      <w:r>
        <w:rPr>
          <w:b/>
        </w:rPr>
        <w:tab/>
      </w:r>
      <w:r>
        <w:rPr>
          <w:b/>
        </w:rPr>
        <w:tab/>
      </w:r>
      <w:r>
        <w:rPr>
          <w:b/>
        </w:rPr>
        <w:tab/>
      </w:r>
      <w:r>
        <w:rPr>
          <w:b/>
        </w:rPr>
        <w:tab/>
        <w:t>AARON HAAS</w:t>
      </w:r>
    </w:p>
    <w:p w14:paraId="2EADF3D3" w14:textId="77777777" w:rsidR="00B67B3F" w:rsidRDefault="001766DC">
      <w:pPr>
        <w:pStyle w:val="FoFs"/>
        <w:tabs>
          <w:tab w:val="left" w:pos="720"/>
        </w:tabs>
        <w:spacing w:line="240" w:lineRule="auto"/>
      </w:pPr>
      <w:r>
        <w:rPr>
          <w:b/>
        </w:rPr>
        <w:tab/>
      </w:r>
      <w:r>
        <w:rPr>
          <w:b/>
        </w:rPr>
        <w:tab/>
      </w:r>
      <w:r>
        <w:rPr>
          <w:b/>
        </w:rPr>
        <w:tab/>
      </w:r>
      <w:r>
        <w:rPr>
          <w:b/>
        </w:rPr>
        <w:tab/>
      </w:r>
      <w:r>
        <w:rPr>
          <w:b/>
        </w:rPr>
        <w:tab/>
      </w:r>
      <w:r>
        <w:rPr>
          <w:b/>
        </w:rPr>
        <w:tab/>
        <w:t>ADMINISTRATIVE LAW JUDGE</w:t>
      </w:r>
      <w:bookmarkEnd w:id="1"/>
      <w:bookmarkEnd w:id="2"/>
      <w:bookmarkEnd w:id="3"/>
    </w:p>
    <w:sectPr w:rsidR="00B67B3F">
      <w:headerReference w:type="default" r:id="rId8"/>
      <w:footerReference w:type="default" r:id="rId9"/>
      <w:headerReference w:type="first" r:id="rId10"/>
      <w:footerReference w:type="first" r:id="rId11"/>
      <w:footnotePr>
        <w:numRestart w:val="eachSect"/>
      </w:footnotePr>
      <w:pgSz w:w="12240" w:h="15840" w:code="1"/>
      <w:pgMar w:top="1440" w:right="1440" w:bottom="1296"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5412B" w14:textId="77777777" w:rsidR="00B67B3F" w:rsidRDefault="001766DC">
      <w:r>
        <w:separator/>
      </w:r>
    </w:p>
  </w:endnote>
  <w:endnote w:type="continuationSeparator" w:id="0">
    <w:p w14:paraId="21EE494D" w14:textId="77777777" w:rsidR="00B67B3F" w:rsidRDefault="0017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5EAE5CA3" w14:textId="77777777" w:rsidR="00B67B3F" w:rsidRDefault="001766D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1A8988EC" w14:textId="77777777" w:rsidR="00B67B3F" w:rsidRDefault="001766D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FA39E" w14:textId="77777777" w:rsidR="00B67B3F" w:rsidRDefault="001766DC">
      <w:r>
        <w:separator/>
      </w:r>
    </w:p>
  </w:footnote>
  <w:footnote w:type="continuationSeparator" w:id="0">
    <w:p w14:paraId="36A20D7A" w14:textId="77777777" w:rsidR="00B67B3F" w:rsidRDefault="0017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516" w14:textId="77777777" w:rsidR="00B67B3F" w:rsidRDefault="00B67B3F">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58A2F" w14:textId="77777777" w:rsidR="00B67B3F" w:rsidRDefault="00B67B3F">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3C48D1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3"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2374B"/>
    <w:multiLevelType w:val="hybridMultilevel"/>
    <w:tmpl w:val="90801FB2"/>
    <w:lvl w:ilvl="0" w:tplc="9DAC6C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1408F"/>
    <w:multiLevelType w:val="hybridMultilevel"/>
    <w:tmpl w:val="D8025562"/>
    <w:lvl w:ilvl="0" w:tplc="87D81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7412DE"/>
    <w:multiLevelType w:val="hybridMultilevel"/>
    <w:tmpl w:val="8C42275C"/>
    <w:lvl w:ilvl="0" w:tplc="BB7C16FE">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25D2B"/>
    <w:multiLevelType w:val="hybridMultilevel"/>
    <w:tmpl w:val="6414D96C"/>
    <w:lvl w:ilvl="0" w:tplc="A7A05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10427"/>
    <w:multiLevelType w:val="multilevel"/>
    <w:tmpl w:val="FED240D4"/>
    <w:lvl w:ilvl="0">
      <w:start w:val="1"/>
      <w:numFmt w:val="upperRoman"/>
      <w:lvlText w:val="%1."/>
      <w:lvlJc w:val="left"/>
      <w:pPr>
        <w:tabs>
          <w:tab w:val="num" w:pos="1152"/>
        </w:tabs>
        <w:ind w:left="1152"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0" w15:restartNumberingAfterBreak="0">
    <w:nsid w:val="3ED64920"/>
    <w:multiLevelType w:val="hybridMultilevel"/>
    <w:tmpl w:val="067E78AA"/>
    <w:lvl w:ilvl="0" w:tplc="BCB06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F235AC4"/>
    <w:multiLevelType w:val="hybridMultilevel"/>
    <w:tmpl w:val="06C05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114AE"/>
    <w:multiLevelType w:val="hybridMultilevel"/>
    <w:tmpl w:val="8C42275C"/>
    <w:lvl w:ilvl="0" w:tplc="BB7C16FE">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6" w15:restartNumberingAfterBreak="0">
    <w:nsid w:val="72FB4C03"/>
    <w:multiLevelType w:val="hybridMultilevel"/>
    <w:tmpl w:val="B15824DC"/>
    <w:lvl w:ilvl="0" w:tplc="50E01376">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C5D7E"/>
    <w:multiLevelType w:val="hybridMultilevel"/>
    <w:tmpl w:val="06C05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3"/>
  </w:num>
  <w:num w:numId="4">
    <w:abstractNumId w:val="3"/>
  </w:num>
  <w:num w:numId="5">
    <w:abstractNumId w:val="16"/>
  </w:num>
  <w:num w:numId="6">
    <w:abstractNumId w:val="16"/>
    <w:lvlOverride w:ilvl="0">
      <w:startOverride w:val="1"/>
    </w:lvlOverride>
  </w:num>
  <w:num w:numId="7">
    <w:abstractNumId w:val="16"/>
    <w:lvlOverride w:ilvl="0">
      <w:startOverride w:val="1"/>
    </w:lvlOverride>
  </w:num>
  <w:num w:numId="8">
    <w:abstractNumId w:val="14"/>
  </w:num>
  <w:num w:numId="9">
    <w:abstractNumId w:val="16"/>
    <w:lvlOverride w:ilvl="0">
      <w:startOverride w:val="1"/>
    </w:lvlOverride>
  </w:num>
  <w:num w:numId="10">
    <w:abstractNumId w:val="15"/>
  </w:num>
  <w:num w:numId="11">
    <w:abstractNumId w:val="2"/>
  </w:num>
  <w:num w:numId="12">
    <w:abstractNumId w:val="1"/>
  </w:num>
  <w:num w:numId="13">
    <w:abstractNumId w:val="16"/>
    <w:lvlOverride w:ilvl="0">
      <w:startOverride w:val="1"/>
    </w:lvlOverride>
  </w:num>
  <w:num w:numId="14">
    <w:abstractNumId w:val="16"/>
    <w:lvlOverride w:ilvl="0">
      <w:startOverride w:val="1"/>
    </w:lvlOverride>
  </w:num>
  <w:num w:numId="15">
    <w:abstractNumId w:val="4"/>
  </w:num>
  <w:num w:numId="16">
    <w:abstractNumId w:val="0"/>
  </w:num>
  <w:num w:numId="17">
    <w:abstractNumId w:val="17"/>
  </w:num>
  <w:num w:numId="18">
    <w:abstractNumId w:val="10"/>
  </w:num>
  <w:num w:numId="19">
    <w:abstractNumId w:val="6"/>
  </w:num>
  <w:num w:numId="20">
    <w:abstractNumId w:val="11"/>
  </w:num>
  <w:num w:numId="21">
    <w:abstractNumId w:val="12"/>
  </w:num>
  <w:num w:numId="22">
    <w:abstractNumId w:val="8"/>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B3F"/>
    <w:rsid w:val="001023E2"/>
    <w:rsid w:val="001766DC"/>
    <w:rsid w:val="007522E8"/>
    <w:rsid w:val="009565C4"/>
    <w:rsid w:val="00982350"/>
    <w:rsid w:val="00B17EE6"/>
    <w:rsid w:val="00B63592"/>
    <w:rsid w:val="00B67B3F"/>
    <w:rsid w:val="00D1541B"/>
    <w:rsid w:val="00DA07EC"/>
    <w:rsid w:val="00E726A8"/>
    <w:rsid w:val="00F23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0E2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20"/>
      </w:tabs>
    </w:pPr>
  </w:style>
  <w:style w:type="paragraph" w:styleId="Heading1">
    <w:name w:val="heading 1"/>
    <w:basedOn w:val="Normal"/>
    <w:next w:val="Normal"/>
    <w:link w:val="Heading1Char"/>
    <w:uiPriority w:val="9"/>
    <w:qFormat/>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nhideWhenUsed/>
    <w:rPr>
      <w:vertAlign w:val="superscript"/>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pPr>
      <w:tabs>
        <w:tab w:val="right" w:leader="dot" w:pos="9346"/>
      </w:tabs>
      <w:spacing w:after="120"/>
      <w:ind w:left="720" w:right="720" w:hanging="720"/>
      <w:jc w:val="left"/>
    </w:pPr>
  </w:style>
  <w:style w:type="paragraph" w:styleId="TOC2">
    <w:name w:val="toc 2"/>
    <w:basedOn w:val="Normal"/>
    <w:next w:val="Normal"/>
    <w:uiPriority w:val="39"/>
    <w:unhideWhenUsed/>
    <w:pPr>
      <w:tabs>
        <w:tab w:val="right" w:leader="dot" w:pos="9350"/>
      </w:tabs>
      <w:spacing w:after="120"/>
      <w:ind w:left="1440" w:right="720" w:hanging="720"/>
      <w:jc w:val="left"/>
    </w:pPr>
  </w:style>
  <w:style w:type="paragraph" w:styleId="TOC3">
    <w:name w:val="toc 3"/>
    <w:basedOn w:val="Normal"/>
    <w:next w:val="Normal"/>
    <w:uiPriority w:val="39"/>
    <w:unhideWhenUsed/>
    <w:pPr>
      <w:tabs>
        <w:tab w:val="left" w:pos="2160"/>
        <w:tab w:val="right" w:leader="dot" w:pos="9350"/>
      </w:tabs>
      <w:ind w:left="2160" w:right="720" w:hanging="720"/>
      <w:jc w:val="left"/>
    </w:pPr>
  </w:style>
  <w:style w:type="paragraph" w:styleId="TOC4">
    <w:name w:val="toc 4"/>
    <w:basedOn w:val="Normal"/>
    <w:next w:val="Normal"/>
    <w:uiPriority w:val="39"/>
    <w:unhideWhenUsed/>
    <w:pPr>
      <w:tabs>
        <w:tab w:val="left" w:pos="2160"/>
        <w:tab w:val="right" w:leader="dot" w:pos="9350"/>
      </w:tabs>
      <w:ind w:left="2880" w:right="720" w:hanging="720"/>
    </w:pPr>
  </w:style>
  <w:style w:type="paragraph" w:styleId="TOC5">
    <w:name w:val="toc 5"/>
    <w:basedOn w:val="Normal"/>
    <w:next w:val="Normal"/>
    <w:uiPriority w:val="39"/>
    <w:unhideWhenUsed/>
    <w:pPr>
      <w:tabs>
        <w:tab w:val="left" w:pos="3600"/>
        <w:tab w:val="right" w:leader="dot" w:pos="9350"/>
      </w:tabs>
      <w:ind w:left="3600" w:right="720" w:hanging="720"/>
      <w:jc w:val="left"/>
    </w:pPr>
  </w:style>
  <w:style w:type="paragraph" w:styleId="TOC6">
    <w:name w:val="toc 6"/>
    <w:basedOn w:val="Normal"/>
    <w:next w:val="Normal"/>
    <w:uiPriority w:val="39"/>
    <w:unhideWhenUsed/>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pPr>
      <w:tabs>
        <w:tab w:val="left" w:pos="5760"/>
        <w:tab w:val="right" w:leader="dot" w:pos="9346"/>
      </w:tabs>
      <w:ind w:left="5760" w:right="720" w:hanging="720"/>
      <w:jc w:val="left"/>
    </w:pPr>
  </w:style>
  <w:style w:type="paragraph" w:styleId="TOC9">
    <w:name w:val="toc 9"/>
    <w:basedOn w:val="Normal"/>
    <w:next w:val="Normal"/>
    <w:uiPriority w:val="39"/>
    <w:unhideWhenUsed/>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pPr>
      <w:spacing w:line="480" w:lineRule="auto"/>
      <w:ind w:left="720" w:hanging="720"/>
    </w:pPr>
    <w:rPr>
      <w:rFonts w:ascii="Times New Roman Bold" w:hAnsi="Times New Roman Bold"/>
      <w:b/>
      <w:caps/>
    </w:rPr>
  </w:style>
  <w:style w:type="paragraph" w:customStyle="1" w:styleId="CRAnswer">
    <w:name w:val="CR Answer"/>
    <w:basedOn w:val="Normal"/>
    <w:next w:val="Normal"/>
    <w:qFormat/>
    <w:pPr>
      <w:spacing w:line="480" w:lineRule="auto"/>
      <w:ind w:left="720" w:hanging="720"/>
    </w:pPr>
  </w:style>
  <w:style w:type="paragraph" w:customStyle="1" w:styleId="CROutline1">
    <w:name w:val="CR Outline1"/>
    <w:basedOn w:val="BodyText"/>
    <w:next w:val="Normal"/>
    <w:qFormat/>
    <w:pPr>
      <w:keepNext/>
      <w:numPr>
        <w:numId w:val="2"/>
      </w:numPr>
      <w:tabs>
        <w:tab w:val="clear" w:pos="720"/>
      </w:tabs>
      <w:spacing w:after="0"/>
      <w:ind w:left="360"/>
      <w:jc w:val="center"/>
    </w:pPr>
    <w:rPr>
      <w:rFonts w:ascii="Times New Roman Bold" w:hAnsi="Times New Roman Bold"/>
      <w:b/>
      <w:bCs/>
      <w:caps/>
      <w:snapToGrid w:val="0"/>
      <w:lang w:eastAsia="zh-TW"/>
    </w:rPr>
  </w:style>
  <w:style w:type="paragraph" w:customStyle="1" w:styleId="CROutline2">
    <w:name w:val="CR Outline2"/>
    <w:next w:val="Normal"/>
    <w:qFormat/>
    <w:pPr>
      <w:numPr>
        <w:ilvl w:val="1"/>
        <w:numId w:val="1"/>
      </w:numPr>
      <w:tabs>
        <w:tab w:val="clear" w:pos="1152"/>
      </w:tabs>
      <w:spacing w:after="240"/>
      <w:ind w:left="900"/>
      <w:outlineLvl w:val="1"/>
    </w:pPr>
    <w:rPr>
      <w:rFonts w:eastAsia="Times New Roman"/>
      <w:b/>
      <w:snapToGrid w:val="0"/>
    </w:rPr>
  </w:style>
  <w:style w:type="paragraph" w:customStyle="1" w:styleId="CROutline3">
    <w:name w:val="CR Outline3"/>
    <w:next w:val="Normal"/>
    <w:pPr>
      <w:numPr>
        <w:ilvl w:val="2"/>
        <w:numId w:val="1"/>
      </w:numPr>
      <w:tabs>
        <w:tab w:val="left" w:pos="1440"/>
      </w:tabs>
      <w:spacing w:after="240"/>
      <w:outlineLvl w:val="2"/>
    </w:pPr>
    <w:rPr>
      <w:rFonts w:eastAsia="Times New Roman"/>
      <w:b/>
    </w:rPr>
  </w:style>
  <w:style w:type="paragraph" w:customStyle="1" w:styleId="CROutline4">
    <w:name w:val="CR Outline4"/>
    <w:next w:val="Normal"/>
    <w:pPr>
      <w:numPr>
        <w:ilvl w:val="3"/>
        <w:numId w:val="1"/>
      </w:numPr>
      <w:tabs>
        <w:tab w:val="left" w:pos="2160"/>
      </w:tabs>
      <w:spacing w:after="240"/>
      <w:outlineLvl w:val="3"/>
    </w:pPr>
    <w:rPr>
      <w:rFonts w:eastAsia="Times New Roman"/>
      <w:b/>
    </w:rPr>
  </w:style>
  <w:style w:type="paragraph" w:customStyle="1" w:styleId="CROutline5">
    <w:name w:val="CR Outline5"/>
    <w:next w:val="Normal"/>
    <w:pPr>
      <w:numPr>
        <w:ilvl w:val="4"/>
        <w:numId w:val="1"/>
      </w:numPr>
      <w:spacing w:after="240"/>
      <w:outlineLvl w:val="4"/>
    </w:pPr>
    <w:rPr>
      <w:rFonts w:eastAsia="Times New Roman"/>
      <w:b/>
    </w:rPr>
  </w:style>
  <w:style w:type="paragraph" w:customStyle="1" w:styleId="CROutline6">
    <w:name w:val="CR Outline6"/>
    <w:next w:val="Normal"/>
    <w:pPr>
      <w:numPr>
        <w:ilvl w:val="5"/>
        <w:numId w:val="1"/>
      </w:numPr>
      <w:spacing w:after="240"/>
      <w:outlineLvl w:val="5"/>
    </w:pPr>
    <w:rPr>
      <w:rFonts w:eastAsia="Times New Roman"/>
      <w:b/>
    </w:rPr>
  </w:style>
  <w:style w:type="paragraph" w:customStyle="1" w:styleId="CROutline7">
    <w:name w:val="CR Outline7"/>
    <w:next w:val="Normal"/>
    <w:pPr>
      <w:numPr>
        <w:ilvl w:val="6"/>
        <w:numId w:val="1"/>
      </w:numPr>
      <w:spacing w:after="240"/>
      <w:outlineLvl w:val="6"/>
    </w:pPr>
    <w:rPr>
      <w:rFonts w:eastAsia="Times New Roman"/>
      <w:b/>
    </w:rPr>
  </w:style>
  <w:style w:type="paragraph" w:customStyle="1" w:styleId="CROutline8">
    <w:name w:val="CR Outline8"/>
    <w:next w:val="Normal"/>
    <w:pPr>
      <w:numPr>
        <w:ilvl w:val="7"/>
        <w:numId w:val="1"/>
      </w:numPr>
      <w:spacing w:after="240"/>
      <w:outlineLvl w:val="7"/>
    </w:pPr>
    <w:rPr>
      <w:rFonts w:eastAsia="Times New Roman"/>
      <w:b/>
    </w:rPr>
  </w:style>
  <w:style w:type="paragraph" w:customStyle="1" w:styleId="CROutline9">
    <w:name w:val="CR Outline9"/>
    <w:next w:val="Normal"/>
    <w:pPr>
      <w:numPr>
        <w:ilvl w:val="8"/>
        <w:numId w:val="1"/>
      </w:numPr>
      <w:spacing w:after="240"/>
      <w:outlineLvl w:val="8"/>
    </w:pPr>
    <w:rPr>
      <w:rFonts w:eastAsia="Times New Roman"/>
      <w:b/>
    </w:rPr>
  </w:style>
  <w:style w:type="paragraph" w:styleId="BodyText">
    <w:name w:val="Body Text"/>
    <w:basedOn w:val="Normal"/>
    <w:link w:val="BodyTextChar"/>
    <w:uiPriority w:val="1"/>
    <w:qFormat/>
    <w:pPr>
      <w:spacing w:after="120" w:line="360" w:lineRule="auto"/>
    </w:pPr>
    <w:rPr>
      <w:rFonts w:eastAsia="SimSun"/>
      <w:lang w:eastAsia="zh-CN"/>
    </w:rPr>
  </w:style>
  <w:style w:type="character" w:customStyle="1" w:styleId="BodyTextChar">
    <w:name w:val="Body Text Char"/>
    <w:basedOn w:val="DefaultParagraphFont"/>
    <w:link w:val="BodyText"/>
    <w:uiPriority w:val="1"/>
    <w:rPr>
      <w:rFonts w:eastAsia="SimSun"/>
      <w:lang w:eastAsia="zh-CN"/>
    </w:rPr>
  </w:style>
  <w:style w:type="character" w:styleId="Strong">
    <w:name w:val="Strong"/>
    <w:basedOn w:val="DefaultParagraphFont"/>
    <w:uiPriority w:val="22"/>
    <w:rPr>
      <w:b/>
      <w:bCs/>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character" w:styleId="IntenseReference">
    <w:name w:val="Intense Reference"/>
    <w:basedOn w:val="DefaultParagraphFont"/>
    <w:uiPriority w:val="32"/>
    <w:rPr>
      <w:b/>
      <w:bCs/>
      <w:smallCaps/>
      <w:color w:val="4472C4" w:themeColor="accent1"/>
      <w:spacing w:val="5"/>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pPr>
      <w:tabs>
        <w:tab w:val="clear" w:pos="720"/>
        <w:tab w:val="center" w:pos="4680"/>
        <w:tab w:val="right" w:pos="9360"/>
      </w:tabs>
    </w:pPr>
  </w:style>
  <w:style w:type="character" w:customStyle="1" w:styleId="FooterChar">
    <w:name w:val="Footer Char"/>
    <w:basedOn w:val="DefaultParagraphFont"/>
    <w:link w:val="Footer"/>
    <w:uiPriority w:val="99"/>
  </w:style>
  <w:style w:type="character" w:customStyle="1" w:styleId="StyleBold">
    <w:name w:val="Style Bold"/>
    <w:basedOn w:val="DefaultParagraphFont"/>
    <w:semiHidden/>
    <w:rPr>
      <w:b/>
      <w:bCs/>
      <w:caps/>
    </w:rPr>
  </w:style>
  <w:style w:type="paragraph" w:styleId="Header">
    <w:name w:val="header"/>
    <w:basedOn w:val="Normal"/>
    <w:link w:val="HeaderChar"/>
    <w:uiPriority w:val="99"/>
    <w:unhideWhenUsed/>
    <w:pPr>
      <w:tabs>
        <w:tab w:val="clear" w:pos="720"/>
        <w:tab w:val="center" w:pos="4680"/>
        <w:tab w:val="right" w:pos="9360"/>
      </w:tabs>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FoFs">
    <w:name w:val="FoFs"/>
    <w:qFormat/>
    <w:pPr>
      <w:spacing w:line="360" w:lineRule="auto"/>
      <w:ind w:right="130"/>
    </w:pPr>
    <w:rPr>
      <w:rFonts w:eastAsia="SimSun"/>
      <w:snapToGrid w:val="0"/>
      <w:lang w:eastAsia="zh-CN"/>
    </w:rPr>
  </w:style>
  <w:style w:type="paragraph" w:customStyle="1" w:styleId="Normaldouble">
    <w:name w:val="Normal double"/>
    <w:basedOn w:val="Normal"/>
    <w:link w:val="NormaldoubleChar"/>
    <w:pPr>
      <w:tabs>
        <w:tab w:val="clear" w:pos="720"/>
      </w:tabs>
      <w:spacing w:line="480" w:lineRule="auto"/>
    </w:pPr>
    <w:rPr>
      <w:rFonts w:eastAsia="Times New Roman"/>
      <w:szCs w:val="20"/>
    </w:rPr>
  </w:style>
  <w:style w:type="character" w:customStyle="1" w:styleId="NormaldoubleChar">
    <w:name w:val="Normal double Char"/>
    <w:link w:val="Normaldouble"/>
    <w:rPr>
      <w:rFonts w:eastAsia="Times New Roman"/>
      <w:szCs w:val="20"/>
    </w:rPr>
  </w:style>
  <w:style w:type="paragraph" w:styleId="Revision">
    <w:name w:val="Revision"/>
    <w:hidden/>
    <w:uiPriority w:val="99"/>
    <w:semiHidden/>
    <w:pPr>
      <w:jc w:val="left"/>
    </w:pPr>
  </w:style>
  <w:style w:type="paragraph" w:customStyle="1" w:styleId="Default">
    <w:name w:val="Default"/>
    <w:pPr>
      <w:autoSpaceDE w:val="0"/>
      <w:autoSpaceDN w:val="0"/>
      <w:adjustRightInd w:val="0"/>
      <w:jc w:val="left"/>
    </w:pPr>
    <w:rPr>
      <w:color w:val="000000"/>
    </w:rPr>
  </w:style>
  <w:style w:type="paragraph" w:styleId="NoSpacing">
    <w:name w:val="No Spacing"/>
    <w:uiPriority w:val="1"/>
    <w:qFormat/>
    <w:pPr>
      <w:jc w:val="left"/>
    </w:pPr>
    <w:rPr>
      <w:rFonts w:eastAsia="Times New Roman" w:cs="Baskerville Old Face"/>
    </w:rPr>
  </w:style>
  <w:style w:type="paragraph" w:customStyle="1" w:styleId="FOFNumbered">
    <w:name w:val="FOF Numbered"/>
    <w:basedOn w:val="Normal"/>
    <w:link w:val="FOFNumberedChar"/>
    <w:uiPriority w:val="2"/>
    <w:qFormat/>
    <w:pPr>
      <w:numPr>
        <w:numId w:val="12"/>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Pr>
      <w:rFonts w:eastAsia="Times New Roman"/>
      <w:snapToGrid w:val="0"/>
      <w:szCs w:val="20"/>
    </w:rPr>
  </w:style>
  <w:style w:type="paragraph" w:customStyle="1" w:styleId="BodyTextIndented">
    <w:name w:val="Body Text Indented"/>
    <w:basedOn w:val="Normal"/>
    <w:link w:val="BodyTextIndentedCharChar"/>
    <w:qFormat/>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Pr>
      <w:rFonts w:eastAsia="SimSun"/>
      <w:lang w:eastAsia="zh-CN"/>
    </w:rPr>
  </w:style>
  <w:style w:type="character" w:styleId="Hyperlink">
    <w:name w:val="Hyperlink"/>
    <w:uiPriority w:val="99"/>
    <w:rPr>
      <w:color w:val="0000FF"/>
      <w:u w:val="single"/>
    </w:rPr>
  </w:style>
  <w:style w:type="paragraph" w:customStyle="1" w:styleId="CaseCaption">
    <w:name w:val="Case Caption"/>
    <w:basedOn w:val="Normal"/>
    <w:next w:val="Normal"/>
    <w:link w:val="CaseCaptionChar"/>
    <w:qFormat/>
    <w:pPr>
      <w:keepNext/>
      <w:tabs>
        <w:tab w:val="clear" w:pos="720"/>
      </w:tabs>
      <w:spacing w:after="240"/>
      <w:contextualSpacing/>
      <w:jc w:val="center"/>
    </w:pPr>
    <w:rPr>
      <w:rFonts w:eastAsia="Times New Roman"/>
      <w:b/>
      <w:caps/>
    </w:rPr>
  </w:style>
  <w:style w:type="character" w:customStyle="1" w:styleId="CaseCaptionChar">
    <w:name w:val="Case Caption Char"/>
    <w:link w:val="CaseCaption"/>
    <w:rPr>
      <w:rFonts w:eastAsia="Times New Roman"/>
      <w:b/>
      <w:cap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D088C-F305-4B3E-AA41-364FE1A4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4637</Characters>
  <Application>Microsoft Office Word</Application>
  <DocSecurity>0</DocSecurity>
  <Lines>201</Lines>
  <Paragraphs>130</Paragraphs>
  <ScaleCrop>false</ScaleCrop>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2024-11-26T16:55:00Z</dcterms:created>
  <dcterms:modified xsi:type="dcterms:W3CDTF">2024-11-26T17:56:00Z</dcterms:modified>
</cp:coreProperties>
</file>